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0"/>
        <w:gridCol w:w="5955"/>
      </w:tblGrid>
      <w:tr>
        <w:trPr>
          <w:trHeight w:val="1838" w:hRule="atLeast"/>
        </w:trPr>
        <w:tc>
          <w:tcPr>
            <w:tcW w:w="2740" w:type="dxa"/>
            <w:tcBorders>
              <w:right w:val="single" w:sz="12" w:space="0" w:color="183A64"/>
            </w:tcBorders>
          </w:tcPr>
          <w:p>
            <w:pPr>
              <w:pStyle w:val="TableParagraph"/>
              <w:spacing w:before="5" w:after="1"/>
              <w:ind w:left="0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4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761999" cy="957072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9" cy="95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955" w:type="dxa"/>
            <w:tcBorders>
              <w:left w:val="single" w:sz="12" w:space="0" w:color="183A64"/>
            </w:tcBorders>
          </w:tcPr>
          <w:p>
            <w:pPr>
              <w:pStyle w:val="TableParagraph"/>
              <w:spacing w:line="433" w:lineRule="exact"/>
              <w:ind w:left="639" w:right="197"/>
              <w:jc w:val="center"/>
              <w:rPr>
                <w:b/>
                <w:sz w:val="36"/>
              </w:rPr>
            </w:pPr>
            <w:r>
              <w:rPr>
                <w:b/>
                <w:color w:val="003399"/>
                <w:sz w:val="36"/>
              </w:rPr>
              <w:t>PRESS</w:t>
            </w:r>
            <w:r>
              <w:rPr>
                <w:b/>
                <w:color w:val="003399"/>
                <w:spacing w:val="-7"/>
                <w:sz w:val="36"/>
              </w:rPr>
              <w:t> </w:t>
            </w:r>
            <w:r>
              <w:rPr>
                <w:b/>
                <w:color w:val="003399"/>
                <w:sz w:val="36"/>
              </w:rPr>
              <w:t>RELEASE</w:t>
            </w:r>
          </w:p>
          <w:p>
            <w:pPr>
              <w:pStyle w:val="TableParagraph"/>
              <w:spacing w:before="121"/>
              <w:ind w:left="669" w:right="197"/>
              <w:jc w:val="center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Relations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Bureau</w:t>
            </w:r>
          </w:p>
          <w:p>
            <w:pPr>
              <w:pStyle w:val="TableParagraph"/>
              <w:ind w:left="669" w:right="197"/>
              <w:jc w:val="center"/>
              <w:rPr>
                <w:sz w:val="24"/>
              </w:rPr>
            </w:pPr>
            <w:r>
              <w:rPr>
                <w:sz w:val="24"/>
              </w:rPr>
              <w:t>Bldg.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 Fl.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Jl.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M.I.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Ridwan Rais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Jakarta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10110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Phone: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021-3860371/Fax: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021-3508711</w:t>
            </w:r>
          </w:p>
          <w:p>
            <w:pPr>
              <w:pStyle w:val="TableParagraph"/>
              <w:spacing w:line="293" w:lineRule="exact"/>
              <w:ind w:left="669" w:right="196"/>
              <w:jc w:val="center"/>
              <w:rPr>
                <w:sz w:val="24"/>
              </w:rPr>
            </w:pPr>
            <w:hyperlink r:id="rId7">
              <w:r>
                <w:rPr>
                  <w:color w:val="0462C1"/>
                  <w:sz w:val="24"/>
                  <w:u w:val="single" w:color="0462C1"/>
                </w:rPr>
                <w:t>www.kemendag.go.id</w:t>
              </w:r>
            </w:hyperlink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</w:rPr>
      </w:pPr>
    </w:p>
    <w:p>
      <w:pPr>
        <w:pStyle w:val="Title"/>
        <w:spacing w:before="55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3552190</wp:posOffset>
            </wp:positionH>
            <wp:positionV relativeFrom="paragraph">
              <wp:posOffset>-1078047</wp:posOffset>
            </wp:positionV>
            <wp:extent cx="657784" cy="1064895"/>
            <wp:effectExtent l="0" t="0" r="0" b="0"/>
            <wp:wrapNone/>
            <wp:docPr id="5" name="image3.png" descr="D:\RENO\2023\20230319 AEM Retreat\RILIS\20230321 Rilis Gala Dinner\1. ASEAN INDONESIA 2023 LOGO - PRIMARY CONFIGURATION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784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</w:t>
      </w:r>
      <w:r>
        <w:rPr>
          <w:spacing w:val="-5"/>
        </w:rPr>
        <w:t> </w:t>
      </w:r>
      <w:r>
        <w:rPr/>
        <w:t>20</w:t>
      </w:r>
      <w:r>
        <w:rPr>
          <w:vertAlign w:val="superscript"/>
        </w:rPr>
        <w:t>th</w:t>
      </w:r>
      <w:r>
        <w:rPr>
          <w:spacing w:val="-4"/>
          <w:vertAlign w:val="baseline"/>
        </w:rPr>
        <w:t> </w:t>
      </w:r>
      <w:r>
        <w:rPr>
          <w:vertAlign w:val="baseline"/>
        </w:rPr>
        <w:t>AEM-India</w:t>
      </w:r>
      <w:r>
        <w:rPr>
          <w:spacing w:val="-3"/>
          <w:vertAlign w:val="baseline"/>
        </w:rPr>
        <w:t> </w:t>
      </w:r>
      <w:r>
        <w:rPr>
          <w:vertAlign w:val="baseline"/>
        </w:rPr>
        <w:t>Consultation</w:t>
      </w:r>
      <w:r>
        <w:rPr>
          <w:spacing w:val="-5"/>
          <w:vertAlign w:val="baseline"/>
        </w:rPr>
        <w:t> </w:t>
      </w:r>
      <w:r>
        <w:rPr>
          <w:vertAlign w:val="baseline"/>
        </w:rPr>
        <w:t>Meeting,</w:t>
      </w:r>
    </w:p>
    <w:p>
      <w:pPr>
        <w:pStyle w:val="Title"/>
        <w:ind w:right="543"/>
      </w:pPr>
      <w:r>
        <w:rPr/>
        <w:t>Minister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Trade</w:t>
      </w:r>
      <w:r>
        <w:rPr>
          <w:spacing w:val="-2"/>
        </w:rPr>
        <w:t> </w:t>
      </w:r>
      <w:r>
        <w:rPr/>
        <w:t>Zulkifli</w:t>
      </w:r>
      <w:r>
        <w:rPr>
          <w:spacing w:val="-3"/>
        </w:rPr>
        <w:t> </w:t>
      </w:r>
      <w:r>
        <w:rPr/>
        <w:t>Hasan:</w:t>
      </w:r>
      <w:r>
        <w:rPr>
          <w:spacing w:val="-4"/>
        </w:rPr>
        <w:t> </w:t>
      </w:r>
      <w:r>
        <w:rPr/>
        <w:t>ASEAN</w:t>
      </w:r>
      <w:r>
        <w:rPr>
          <w:spacing w:val="-3"/>
        </w:rPr>
        <w:t> </w:t>
      </w:r>
      <w:r>
        <w:rPr/>
        <w:t>Optimizing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AIFTA</w:t>
      </w:r>
      <w:r>
        <w:rPr>
          <w:spacing w:val="-4"/>
        </w:rPr>
        <w:t> </w:t>
      </w:r>
      <w:r>
        <w:rPr/>
        <w:t>Agreement</w:t>
      </w:r>
    </w:p>
    <w:p>
      <w:pPr>
        <w:pStyle w:val="BodyText"/>
        <w:spacing w:before="242"/>
        <w:ind w:left="512" w:right="390"/>
        <w:jc w:val="both"/>
      </w:pPr>
      <w:r>
        <w:rPr>
          <w:b/>
        </w:rPr>
        <w:t>Semarang, 21 August 2023 </w:t>
      </w:r>
      <w:r>
        <w:rPr/>
        <w:t>– ASEAN and India agreed to optimize the use of the ASEAN-India</w:t>
      </w:r>
      <w:r>
        <w:rPr>
          <w:spacing w:val="1"/>
        </w:rPr>
        <w:t> </w:t>
      </w:r>
      <w:r>
        <w:rPr/>
        <w:t>Free Trade Area/AIFTA, including reducing existing trade barriers. This was conveyed by the</w:t>
      </w:r>
      <w:r>
        <w:rPr>
          <w:spacing w:val="1"/>
        </w:rPr>
        <w:t> </w:t>
      </w:r>
      <w:r>
        <w:rPr/>
        <w:t>Minister of Trade, Zulkifli Hasan, after chairing the 20</w:t>
      </w:r>
      <w:r>
        <w:rPr>
          <w:vertAlign w:val="superscript"/>
        </w:rPr>
        <w:t>th</w:t>
      </w:r>
      <w:r>
        <w:rPr>
          <w:vertAlign w:val="baseline"/>
        </w:rPr>
        <w:t> ASEAN Economic Minister (AEM)-India</w:t>
      </w:r>
      <w:r>
        <w:rPr>
          <w:spacing w:val="1"/>
          <w:vertAlign w:val="baseline"/>
        </w:rPr>
        <w:t> </w:t>
      </w:r>
      <w:r>
        <w:rPr>
          <w:vertAlign w:val="baseline"/>
        </w:rPr>
        <w:t>Consultation</w:t>
      </w:r>
      <w:r>
        <w:rPr>
          <w:spacing w:val="1"/>
          <w:vertAlign w:val="baseline"/>
        </w:rPr>
        <w:t> </w:t>
      </w:r>
      <w:r>
        <w:rPr>
          <w:vertAlign w:val="baseline"/>
        </w:rPr>
        <w:t>Meeting</w:t>
      </w:r>
      <w:r>
        <w:rPr>
          <w:spacing w:val="1"/>
          <w:vertAlign w:val="baseline"/>
        </w:rPr>
        <w:t> </w:t>
      </w:r>
      <w:r>
        <w:rPr>
          <w:vertAlign w:val="baseline"/>
        </w:rPr>
        <w:t>on Monday (21/8), in</w:t>
      </w:r>
      <w:r>
        <w:rPr>
          <w:spacing w:val="1"/>
          <w:vertAlign w:val="baseline"/>
        </w:rPr>
        <w:t> </w:t>
      </w:r>
      <w:r>
        <w:rPr>
          <w:vertAlign w:val="baseline"/>
        </w:rPr>
        <w:t>Semarang, Central</w:t>
      </w:r>
      <w:r>
        <w:rPr>
          <w:spacing w:val="1"/>
          <w:vertAlign w:val="baseline"/>
        </w:rPr>
        <w:t> </w:t>
      </w:r>
      <w:r>
        <w:rPr>
          <w:vertAlign w:val="baseline"/>
        </w:rPr>
        <w:t>Java. The</w:t>
      </w:r>
      <w:r>
        <w:rPr>
          <w:spacing w:val="58"/>
          <w:vertAlign w:val="baseline"/>
        </w:rPr>
        <w:t> </w:t>
      </w:r>
      <w:r>
        <w:rPr>
          <w:vertAlign w:val="baseline"/>
        </w:rPr>
        <w:t>Indian delegation</w:t>
      </w:r>
      <w:r>
        <w:rPr>
          <w:spacing w:val="1"/>
          <w:vertAlign w:val="baseline"/>
        </w:rPr>
        <w:t> </w:t>
      </w:r>
      <w:r>
        <w:rPr>
          <w:vertAlign w:val="baseline"/>
        </w:rPr>
        <w:t>was led by the Secretary of the Department of Commerce of the Indian Ministry of Trade and</w:t>
      </w:r>
      <w:r>
        <w:rPr>
          <w:spacing w:val="1"/>
          <w:vertAlign w:val="baseline"/>
        </w:rPr>
        <w:t> </w:t>
      </w:r>
      <w:r>
        <w:rPr>
          <w:vertAlign w:val="baseline"/>
        </w:rPr>
        <w:t>Industry</w:t>
      </w:r>
      <w:r>
        <w:rPr>
          <w:spacing w:val="-2"/>
          <w:vertAlign w:val="baseline"/>
        </w:rPr>
        <w:t> </w:t>
      </w:r>
      <w:r>
        <w:rPr>
          <w:vertAlign w:val="baseline"/>
        </w:rPr>
        <w:t>Rajesh</w:t>
      </w:r>
      <w:r>
        <w:rPr>
          <w:spacing w:val="1"/>
          <w:vertAlign w:val="baseline"/>
        </w:rPr>
        <w:t> </w:t>
      </w:r>
      <w:r>
        <w:rPr>
          <w:vertAlign w:val="baseline"/>
        </w:rPr>
        <w:t>Agrawal.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512" w:right="391" w:firstLine="0"/>
        <w:jc w:val="both"/>
        <w:rPr>
          <w:sz w:val="26"/>
        </w:rPr>
      </w:pPr>
      <w:r>
        <w:rPr>
          <w:i/>
          <w:sz w:val="26"/>
        </w:rPr>
        <w:t>"The 20</w:t>
      </w:r>
      <w:r>
        <w:rPr>
          <w:i/>
          <w:sz w:val="26"/>
          <w:vertAlign w:val="superscript"/>
        </w:rPr>
        <w:t>th</w:t>
      </w:r>
      <w:r>
        <w:rPr>
          <w:i/>
          <w:sz w:val="26"/>
          <w:vertAlign w:val="baseline"/>
        </w:rPr>
        <w:t> AEM-India consultation meeting is the 12</w:t>
      </w:r>
      <w:r>
        <w:rPr>
          <w:i/>
          <w:sz w:val="26"/>
          <w:vertAlign w:val="superscript"/>
        </w:rPr>
        <w:t>th</w:t>
      </w:r>
      <w:r>
        <w:rPr>
          <w:i/>
          <w:sz w:val="26"/>
          <w:vertAlign w:val="baseline"/>
        </w:rPr>
        <w:t> meeting in the series meetings of the 55</w:t>
      </w:r>
      <w:r>
        <w:rPr>
          <w:i/>
          <w:sz w:val="26"/>
          <w:vertAlign w:val="superscript"/>
        </w:rPr>
        <w:t>th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AEM meetings. The meeting ratified three documents, namely, the framework for the joint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committee on the ASEAN-India Trade in Goods/AITIGA, the AITIGA work plan review, and the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review</w:t>
      </w:r>
      <w:r>
        <w:rPr>
          <w:i/>
          <w:spacing w:val="-3"/>
          <w:sz w:val="26"/>
          <w:vertAlign w:val="baseline"/>
        </w:rPr>
        <w:t> </w:t>
      </w:r>
      <w:r>
        <w:rPr>
          <w:i/>
          <w:sz w:val="26"/>
          <w:vertAlign w:val="baseline"/>
        </w:rPr>
        <w:t>negotiating</w:t>
      </w:r>
      <w:r>
        <w:rPr>
          <w:i/>
          <w:spacing w:val="-2"/>
          <w:sz w:val="26"/>
          <w:vertAlign w:val="baseline"/>
        </w:rPr>
        <w:t> </w:t>
      </w:r>
      <w:r>
        <w:rPr>
          <w:i/>
          <w:sz w:val="26"/>
          <w:vertAlign w:val="baseline"/>
        </w:rPr>
        <w:t>structure</w:t>
      </w:r>
      <w:r>
        <w:rPr>
          <w:i/>
          <w:spacing w:val="-1"/>
          <w:sz w:val="26"/>
          <w:vertAlign w:val="baseline"/>
        </w:rPr>
        <w:t> </w:t>
      </w:r>
      <w:r>
        <w:rPr>
          <w:i/>
          <w:sz w:val="26"/>
          <w:vertAlign w:val="baseline"/>
        </w:rPr>
        <w:t>of the</w:t>
      </w:r>
      <w:r>
        <w:rPr>
          <w:i/>
          <w:spacing w:val="2"/>
          <w:sz w:val="26"/>
          <w:vertAlign w:val="baseline"/>
        </w:rPr>
        <w:t> </w:t>
      </w:r>
      <w:r>
        <w:rPr>
          <w:i/>
          <w:sz w:val="26"/>
          <w:vertAlign w:val="baseline"/>
        </w:rPr>
        <w:t>AITIGA,"</w:t>
      </w:r>
      <w:r>
        <w:rPr>
          <w:i/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said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Trade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Minister Zulkifli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Hasan.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12" w:right="394"/>
        <w:jc w:val="both"/>
      </w:pPr>
      <w:r>
        <w:rPr/>
        <w:t>Trade Minister Zulkifli Hasan continued, in order to support the agreement, AEM has assigned</w:t>
      </w:r>
      <w:r>
        <w:rPr>
          <w:spacing w:val="-56"/>
        </w:rPr>
        <w:t> </w:t>
      </w:r>
      <w:r>
        <w:rPr/>
        <w:t>the negotiating team to continue discussing the AITIGA review. The goal is that AITIGA can</w:t>
      </w:r>
      <w:r>
        <w:rPr>
          <w:spacing w:val="1"/>
        </w:rPr>
        <w:t> </w:t>
      </w:r>
      <w:r>
        <w:rPr/>
        <w:t>become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more</w:t>
      </w:r>
      <w:r>
        <w:rPr>
          <w:spacing w:val="-2"/>
        </w:rPr>
        <w:t> </w:t>
      </w:r>
      <w:r>
        <w:rPr/>
        <w:t>facilitative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profitable agreement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businesses.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512" w:right="393"/>
        <w:jc w:val="both"/>
      </w:pPr>
      <w:r>
        <w:rPr/>
        <w:t>Trade</w:t>
      </w:r>
      <w:r>
        <w:rPr>
          <w:spacing w:val="1"/>
        </w:rPr>
        <w:t> </w:t>
      </w:r>
      <w:r>
        <w:rPr/>
        <w:t>Minister</w:t>
      </w:r>
      <w:r>
        <w:rPr>
          <w:spacing w:val="1"/>
        </w:rPr>
        <w:t> </w:t>
      </w:r>
      <w:r>
        <w:rPr/>
        <w:t>Zulkifli</w:t>
      </w:r>
      <w:r>
        <w:rPr>
          <w:spacing w:val="1"/>
        </w:rPr>
        <w:t> </w:t>
      </w:r>
      <w:r>
        <w:rPr/>
        <w:t>Hasan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revealed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meeting</w:t>
      </w:r>
      <w:r>
        <w:rPr>
          <w:spacing w:val="1"/>
        </w:rPr>
        <w:t> </w:t>
      </w:r>
      <w:r>
        <w:rPr/>
        <w:t>supports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priorities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programs of ASEAN-India Business Council/AIBC. For example, those related to reducing trade</w:t>
      </w:r>
      <w:r>
        <w:rPr>
          <w:spacing w:val="-56"/>
        </w:rPr>
        <w:t> </w:t>
      </w:r>
      <w:r>
        <w:rPr/>
        <w:t>barriers</w:t>
      </w:r>
      <w:r>
        <w:rPr>
          <w:spacing w:val="-2"/>
        </w:rPr>
        <w:t> </w:t>
      </w:r>
      <w:r>
        <w:rPr/>
        <w:t>(quotas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technical</w:t>
      </w:r>
      <w:r>
        <w:rPr>
          <w:spacing w:val="-1"/>
        </w:rPr>
        <w:t> </w:t>
      </w:r>
      <w:r>
        <w:rPr/>
        <w:t>standards)</w:t>
      </w:r>
      <w:r>
        <w:rPr>
          <w:spacing w:val="-2"/>
        </w:rPr>
        <w:t> </w:t>
      </w:r>
      <w:r>
        <w:rPr/>
        <w:t>and financial</w:t>
      </w:r>
      <w:r>
        <w:rPr>
          <w:spacing w:val="-2"/>
        </w:rPr>
        <w:t> </w:t>
      </w:r>
      <w:r>
        <w:rPr/>
        <w:t>facilitation</w:t>
      </w:r>
      <w:r>
        <w:rPr>
          <w:spacing w:val="-1"/>
        </w:rPr>
        <w:t> </w:t>
      </w:r>
      <w:r>
        <w:rPr/>
        <w:t>support.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12" w:right="394" w:firstLine="0"/>
        <w:jc w:val="both"/>
        <w:rPr>
          <w:sz w:val="26"/>
        </w:rPr>
      </w:pPr>
      <w:r>
        <w:rPr>
          <w:sz w:val="26"/>
        </w:rPr>
        <w:t>Meanwhile, in his opening remarks, Trade Minister Zulkifli Hasan said that currently India is</w:t>
      </w:r>
      <w:r>
        <w:rPr>
          <w:spacing w:val="1"/>
          <w:sz w:val="26"/>
        </w:rPr>
        <w:t> </w:t>
      </w:r>
      <w:r>
        <w:rPr>
          <w:sz w:val="26"/>
        </w:rPr>
        <w:t>ASEAN's 7</w:t>
      </w:r>
      <w:r>
        <w:rPr>
          <w:sz w:val="26"/>
          <w:vertAlign w:val="superscript"/>
        </w:rPr>
        <w:t>th</w:t>
      </w:r>
      <w:r>
        <w:rPr>
          <w:sz w:val="26"/>
          <w:vertAlign w:val="baseline"/>
        </w:rPr>
        <w:t> largest trade partner while ASEAN is India's 4</w:t>
      </w:r>
      <w:r>
        <w:rPr>
          <w:sz w:val="26"/>
          <w:vertAlign w:val="superscript"/>
        </w:rPr>
        <w:t>th</w:t>
      </w:r>
      <w:r>
        <w:rPr>
          <w:sz w:val="26"/>
          <w:vertAlign w:val="baseline"/>
        </w:rPr>
        <w:t> largest trade partner. </w:t>
      </w:r>
      <w:r>
        <w:rPr>
          <w:i/>
          <w:sz w:val="26"/>
          <w:vertAlign w:val="baseline"/>
        </w:rPr>
        <w:t>"Therefore,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this meeting is an important momentum to strengthen trade relations between ASEAN and</w:t>
      </w:r>
      <w:r>
        <w:rPr>
          <w:i/>
          <w:spacing w:val="1"/>
          <w:sz w:val="26"/>
          <w:vertAlign w:val="baseline"/>
        </w:rPr>
        <w:t> </w:t>
      </w:r>
      <w:r>
        <w:rPr>
          <w:i/>
          <w:sz w:val="26"/>
          <w:vertAlign w:val="baseline"/>
        </w:rPr>
        <w:t>India, as well as to gain support for Indonesia as the ASEAN Chair this year," </w:t>
      </w:r>
      <w:r>
        <w:rPr>
          <w:sz w:val="26"/>
          <w:vertAlign w:val="baseline"/>
        </w:rPr>
        <w:t>added Trade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Minister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Zulkifli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Hasan.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17" w:lineRule="exact"/>
        <w:ind w:left="512"/>
        <w:jc w:val="both"/>
      </w:pPr>
      <w:r>
        <w:rPr/>
        <w:t>The</w:t>
      </w:r>
      <w:r>
        <w:rPr>
          <w:spacing w:val="-1"/>
        </w:rPr>
        <w:t> </w:t>
      </w:r>
      <w:r>
        <w:rPr/>
        <w:t>total</w:t>
      </w:r>
      <w:r>
        <w:rPr>
          <w:spacing w:val="1"/>
        </w:rPr>
        <w:t> </w:t>
      </w:r>
      <w:r>
        <w:rPr/>
        <w:t>trade</w:t>
      </w:r>
      <w:r>
        <w:rPr>
          <w:spacing w:val="-1"/>
        </w:rPr>
        <w:t> </w:t>
      </w:r>
      <w:r>
        <w:rPr/>
        <w:t>between ASEAN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India in</w:t>
      </w:r>
      <w:r>
        <w:rPr>
          <w:spacing w:val="2"/>
        </w:rPr>
        <w:t> </w:t>
      </w:r>
      <w:r>
        <w:rPr/>
        <w:t>2022</w:t>
      </w:r>
      <w:r>
        <w:rPr>
          <w:spacing w:val="7"/>
        </w:rPr>
        <w:t> </w:t>
      </w:r>
      <w:r>
        <w:rPr/>
        <w:t>amounted</w:t>
      </w:r>
      <w:r>
        <w:rPr>
          <w:spacing w:val="1"/>
        </w:rPr>
        <w:t> </w:t>
      </w:r>
      <w:r>
        <w:rPr/>
        <w:t>to</w:t>
      </w:r>
      <w:r>
        <w:rPr>
          <w:spacing w:val="3"/>
        </w:rPr>
        <w:t> </w:t>
      </w:r>
      <w:r>
        <w:rPr/>
        <w:t>USD 113</w:t>
      </w:r>
      <w:r>
        <w:rPr>
          <w:spacing w:val="-1"/>
        </w:rPr>
        <w:t> </w:t>
      </w:r>
      <w:r>
        <w:rPr/>
        <w:t>billion, an</w:t>
      </w:r>
      <w:r>
        <w:rPr>
          <w:spacing w:val="-1"/>
        </w:rPr>
        <w:t> </w:t>
      </w:r>
      <w:r>
        <w:rPr/>
        <w:t>increase</w:t>
      </w:r>
      <w:r>
        <w:rPr>
          <w:spacing w:val="-2"/>
        </w:rPr>
        <w:t> </w:t>
      </w:r>
      <w:r>
        <w:rPr/>
        <w:t>of</w:t>
      </w:r>
    </w:p>
    <w:p>
      <w:pPr>
        <w:pStyle w:val="BodyText"/>
        <w:ind w:left="512"/>
      </w:pPr>
      <w:r>
        <w:rPr/>
        <w:t>23.4</w:t>
      </w:r>
      <w:r>
        <w:rPr>
          <w:spacing w:val="49"/>
        </w:rPr>
        <w:t> </w:t>
      </w:r>
      <w:r>
        <w:rPr/>
        <w:t>percent</w:t>
      </w:r>
      <w:r>
        <w:rPr>
          <w:spacing w:val="49"/>
        </w:rPr>
        <w:t> </w:t>
      </w:r>
      <w:r>
        <w:rPr/>
        <w:t>from</w:t>
      </w:r>
      <w:r>
        <w:rPr>
          <w:spacing w:val="48"/>
        </w:rPr>
        <w:t> </w:t>
      </w:r>
      <w:r>
        <w:rPr/>
        <w:t>the</w:t>
      </w:r>
      <w:r>
        <w:rPr>
          <w:spacing w:val="50"/>
        </w:rPr>
        <w:t> </w:t>
      </w:r>
      <w:r>
        <w:rPr/>
        <w:t>previous</w:t>
      </w:r>
      <w:r>
        <w:rPr>
          <w:spacing w:val="49"/>
        </w:rPr>
        <w:t> </w:t>
      </w:r>
      <w:r>
        <w:rPr/>
        <w:t>year.</w:t>
      </w:r>
      <w:r>
        <w:rPr>
          <w:spacing w:val="50"/>
        </w:rPr>
        <w:t> </w:t>
      </w:r>
      <w:r>
        <w:rPr/>
        <w:t>From</w:t>
      </w:r>
      <w:r>
        <w:rPr>
          <w:spacing w:val="51"/>
        </w:rPr>
        <w:t> </w:t>
      </w:r>
      <w:r>
        <w:rPr/>
        <w:t>the</w:t>
      </w:r>
      <w:r>
        <w:rPr>
          <w:spacing w:val="50"/>
        </w:rPr>
        <w:t> </w:t>
      </w:r>
      <w:r>
        <w:rPr/>
        <w:t>investment</w:t>
      </w:r>
      <w:r>
        <w:rPr>
          <w:spacing w:val="50"/>
        </w:rPr>
        <w:t> </w:t>
      </w:r>
      <w:r>
        <w:rPr/>
        <w:t>side,</w:t>
      </w:r>
      <w:r>
        <w:rPr>
          <w:spacing w:val="51"/>
        </w:rPr>
        <w:t> </w:t>
      </w:r>
      <w:r>
        <w:rPr/>
        <w:t>inflows</w:t>
      </w:r>
      <w:r>
        <w:rPr>
          <w:spacing w:val="49"/>
        </w:rPr>
        <w:t> </w:t>
      </w:r>
      <w:r>
        <w:rPr/>
        <w:t>of</w:t>
      </w:r>
      <w:r>
        <w:rPr>
          <w:spacing w:val="49"/>
        </w:rPr>
        <w:t> </w:t>
      </w:r>
      <w:r>
        <w:rPr/>
        <w:t>foreign</w:t>
      </w:r>
      <w:r>
        <w:rPr>
          <w:spacing w:val="50"/>
        </w:rPr>
        <w:t> </w:t>
      </w:r>
      <w:r>
        <w:rPr/>
        <w:t>direct</w:t>
      </w:r>
      <w:r>
        <w:rPr>
          <w:spacing w:val="-56"/>
        </w:rPr>
        <w:t> </w:t>
      </w:r>
      <w:r>
        <w:rPr/>
        <w:t>investment</w:t>
      </w:r>
      <w:r>
        <w:rPr>
          <w:spacing w:val="-2"/>
        </w:rPr>
        <w:t> </w:t>
      </w:r>
      <w:r>
        <w:rPr/>
        <w:t>(FDI)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India</w:t>
      </w:r>
      <w:r>
        <w:rPr>
          <w:spacing w:val="-1"/>
        </w:rPr>
        <w:t> </w:t>
      </w:r>
      <w:r>
        <w:rPr/>
        <w:t>to ASEAN reached</w:t>
      </w:r>
      <w:r>
        <w:rPr>
          <w:spacing w:val="1"/>
        </w:rPr>
        <w:t> </w:t>
      </w:r>
      <w:r>
        <w:rPr/>
        <w:t>USD</w:t>
      </w:r>
      <w:r>
        <w:rPr>
          <w:spacing w:val="-2"/>
        </w:rPr>
        <w:t> </w:t>
      </w:r>
      <w:r>
        <w:rPr/>
        <w:t>681</w:t>
      </w:r>
      <w:r>
        <w:rPr>
          <w:spacing w:val="1"/>
        </w:rPr>
        <w:t> </w:t>
      </w:r>
      <w:r>
        <w:rPr/>
        <w:t>million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2022.</w:t>
      </w: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5"/>
        <w:gridCol w:w="4874"/>
      </w:tblGrid>
      <w:tr>
        <w:trPr>
          <w:trHeight w:val="3021" w:hRule="atLeast"/>
        </w:trPr>
        <w:tc>
          <w:tcPr>
            <w:tcW w:w="487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38667" cy="1892236"/>
                  <wp:effectExtent l="0" t="0" r="0" b="0"/>
                  <wp:docPr id="7" name="image4.jpeg" descr="D:\Humas\2023\Siaran Pers\Agustus\AEM India\2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667" cy="1892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874" w:type="dxa"/>
          </w:tcPr>
          <w:p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38041" cy="1892236"/>
                  <wp:effectExtent l="0" t="0" r="0" b="0"/>
                  <wp:docPr id="9" name="image5.jpeg" descr="D:\Humas\2023\Siaran Pers\Agustus\AEM India\3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041" cy="1892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spacing w:after="0"/>
        <w:rPr>
          <w:sz w:val="20"/>
        </w:rPr>
        <w:sectPr>
          <w:footerReference w:type="default" r:id="rId5"/>
          <w:type w:val="continuous"/>
          <w:pgSz w:w="12240" w:h="20160"/>
          <w:pgMar w:footer="801" w:top="1140" w:bottom="1000" w:left="620" w:right="740"/>
          <w:pgNumType w:start="1"/>
        </w:sectPr>
      </w:pPr>
    </w:p>
    <w:tbl>
      <w:tblPr>
        <w:tblW w:w="0" w:type="auto"/>
        <w:jc w:val="left"/>
        <w:tblInd w:w="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5"/>
        <w:gridCol w:w="4874"/>
      </w:tblGrid>
      <w:tr>
        <w:trPr>
          <w:trHeight w:val="3022" w:hRule="atLeast"/>
        </w:trPr>
        <w:tc>
          <w:tcPr>
            <w:tcW w:w="487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37728" cy="1892236"/>
                  <wp:effectExtent l="0" t="0" r="0" b="0"/>
                  <wp:docPr id="11" name="image6.jpeg" descr="D:\Humas\2023\Siaran Pers\Agustus\AEM India\4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728" cy="1892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874" w:type="dxa"/>
          </w:tcPr>
          <w:p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37102" cy="1892236"/>
                  <wp:effectExtent l="0" t="0" r="0" b="0"/>
                  <wp:docPr id="13" name="image7.jpeg" descr="D:\Humas\2023\Siaran Pers\Agustus\AEM India\1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102" cy="1892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spacing w:before="5"/>
        <w:rPr>
          <w:sz w:val="16"/>
        </w:rPr>
      </w:pPr>
    </w:p>
    <w:p>
      <w:pPr>
        <w:spacing w:before="52"/>
        <w:ind w:left="654" w:right="535" w:firstLine="0"/>
        <w:jc w:val="center"/>
        <w:rPr>
          <w:sz w:val="24"/>
        </w:rPr>
      </w:pPr>
      <w:r>
        <w:rPr>
          <w:sz w:val="24"/>
        </w:rPr>
        <w:t>--end--</w:t>
      </w: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5"/>
        <w:gridCol w:w="6089"/>
      </w:tblGrid>
      <w:tr>
        <w:trPr>
          <w:trHeight w:val="1649" w:hRule="atLeast"/>
        </w:trPr>
        <w:tc>
          <w:tcPr>
            <w:tcW w:w="4575" w:type="dxa"/>
          </w:tcPr>
          <w:p>
            <w:pPr>
              <w:pStyle w:val="TableParagraph"/>
              <w:spacing w:line="225" w:lineRule="exact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For</w:t>
            </w:r>
            <w:r>
              <w:rPr>
                <w:b/>
                <w:spacing w:val="-1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further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information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please</w:t>
            </w:r>
            <w:r>
              <w:rPr>
                <w:b/>
                <w:spacing w:val="-2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contact:</w:t>
            </w:r>
          </w:p>
          <w:p>
            <w:pPr>
              <w:pStyle w:val="TableParagraph"/>
              <w:spacing w:before="58"/>
              <w:rPr>
                <w:b/>
                <w:sz w:val="22"/>
              </w:rPr>
            </w:pPr>
            <w:r>
              <w:rPr>
                <w:b/>
                <w:sz w:val="22"/>
              </w:rPr>
              <w:t>Ani Mulyati</w:t>
            </w:r>
          </w:p>
          <w:p>
            <w:pPr>
              <w:pStyle w:val="TableParagraph"/>
              <w:ind w:right="1448"/>
              <w:rPr>
                <w:b/>
                <w:sz w:val="22"/>
              </w:rPr>
            </w:pPr>
            <w:r>
              <w:rPr>
                <w:b/>
                <w:sz w:val="22"/>
              </w:rPr>
              <w:t>Head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Public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Relations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Bureau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Ministry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Trade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Email:</w:t>
            </w:r>
            <w:r>
              <w:rPr>
                <w:spacing w:val="-7"/>
                <w:sz w:val="22"/>
              </w:rPr>
              <w:t> </w:t>
            </w:r>
            <w:hyperlink r:id="rId13">
              <w:r>
                <w:rPr>
                  <w:color w:val="0000FF"/>
                  <w:sz w:val="22"/>
                  <w:u w:val="single" w:color="0000FF"/>
                </w:rPr>
                <w:t>pusathumas@kemendag.go.id</w:t>
              </w:r>
            </w:hyperlink>
          </w:p>
        </w:tc>
        <w:tc>
          <w:tcPr>
            <w:tcW w:w="6089" w:type="dxa"/>
          </w:tcPr>
          <w:p>
            <w:pPr>
              <w:pStyle w:val="TableParagraph"/>
              <w:spacing w:before="2"/>
              <w:ind w:left="0"/>
              <w:rPr>
                <w:sz w:val="23"/>
              </w:rPr>
            </w:pPr>
          </w:p>
          <w:p>
            <w:pPr>
              <w:pStyle w:val="TableParagraph"/>
              <w:ind w:left="800"/>
              <w:rPr>
                <w:b/>
                <w:sz w:val="22"/>
              </w:rPr>
            </w:pPr>
            <w:r>
              <w:rPr>
                <w:b/>
                <w:sz w:val="22"/>
              </w:rPr>
              <w:t>Dina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Kurniasari</w:t>
            </w:r>
          </w:p>
          <w:p>
            <w:pPr>
              <w:pStyle w:val="TableParagraph"/>
              <w:ind w:left="800"/>
              <w:rPr>
                <w:b/>
                <w:sz w:val="22"/>
              </w:rPr>
            </w:pPr>
            <w:r>
              <w:rPr>
                <w:b/>
                <w:sz w:val="22"/>
              </w:rPr>
              <w:t>Director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ASEAN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Negotiations</w:t>
            </w:r>
          </w:p>
          <w:p>
            <w:pPr>
              <w:pStyle w:val="TableParagraph"/>
              <w:spacing w:before="1"/>
              <w:ind w:left="800"/>
              <w:rPr>
                <w:b/>
                <w:sz w:val="22"/>
              </w:rPr>
            </w:pPr>
            <w:r>
              <w:rPr>
                <w:b/>
                <w:sz w:val="22"/>
              </w:rPr>
              <w:t>Directorate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General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International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Trade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Negotiations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Ministry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Trade</w:t>
            </w:r>
          </w:p>
          <w:p>
            <w:pPr>
              <w:pStyle w:val="TableParagraph"/>
              <w:spacing w:line="269" w:lineRule="exact" w:before="3"/>
              <w:ind w:left="800"/>
              <w:rPr>
                <w:sz w:val="24"/>
              </w:rPr>
            </w:pPr>
            <w:r>
              <w:rPr>
                <w:sz w:val="22"/>
              </w:rPr>
              <w:t>Email:</w:t>
            </w:r>
            <w:r>
              <w:rPr>
                <w:spacing w:val="-5"/>
                <w:sz w:val="22"/>
              </w:rPr>
              <w:t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asean@kemendag.go.id</w:t>
              </w:r>
            </w:hyperlink>
          </w:p>
        </w:tc>
      </w:tr>
    </w:tbl>
    <w:sectPr>
      <w:pgSz w:w="12240" w:h="20160"/>
      <w:pgMar w:header="0" w:footer="801" w:top="1120" w:bottom="100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0496">
          <wp:simplePos x="0" y="0"/>
          <wp:positionH relativeFrom="page">
            <wp:posOffset>1039660</wp:posOffset>
          </wp:positionH>
          <wp:positionV relativeFrom="page">
            <wp:posOffset>12165965</wp:posOffset>
          </wp:positionV>
          <wp:extent cx="5489266" cy="17843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9266" cy="1784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654" w:right="542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hyperlink" Target="http://www.kemendag.go.id/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hyperlink" Target="mailto:pusathumas@kemendag.go.id" TargetMode="External"/><Relationship Id="rId14" Type="http://schemas.openxmlformats.org/officeDocument/2006/relationships/hyperlink" Target="mailto:asean@kemendag.go.id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2023-08-22T08:40:44Z</dcterms:created>
  <dcterms:modified xsi:type="dcterms:W3CDTF">2023-08-22T08:40:44Z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2023-08-22T00:00:00Z</vt:filetime>
  </property>
</Properties>
</file>